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Comarca del Altiplano: </w:t>
      </w:r>
      <w:r>
        <w:rPr>
          <w:b/>
          <w:bCs/>
        </w:rPr>
        <w:t>Jumilla y Yecla.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5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1616</w:t>
        <w:br/>
        <w:t>408F</w:t>
        <w:br/>
        <w:t>511R</w:t>
        <w:br/>
        <w:t>749N</w:t>
        <w:br/>
        <w:t>875E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0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2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basedOn w:val="Predeterminado"/>
    <w:qFormat/>
    <w:pPr>
      <w:suppressLineNumbers/>
      <w:ind w:left="339" w:right="0" w:hanging="339"/>
    </w:pPr>
    <w:rPr>
      <w:sz w:val="20"/>
      <w:szCs w:val="20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46</TotalTime>
  <Application>LibreOffice/6.0.6.2$Linux_X86_64 LibreOffice_project/00m0$Build-2</Application>
  <Pages>1</Pages>
  <Words>156</Words>
  <Characters>808</Characters>
  <CharactersWithSpaces>953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2018-11-20T09:16:00Z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